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56" w:rsidRPr="001E0EBA" w:rsidRDefault="00870456" w:rsidP="00745E4E">
      <w:pPr>
        <w:spacing w:beforeLines="50" w:before="180" w:line="440" w:lineRule="exact"/>
        <w:jc w:val="center"/>
        <w:rPr>
          <w:rFonts w:eastAsia="標楷體"/>
          <w:sz w:val="32"/>
          <w:szCs w:val="32"/>
        </w:rPr>
      </w:pPr>
      <w:bookmarkStart w:id="0" w:name="_GoBack"/>
      <w:bookmarkEnd w:id="0"/>
      <w:r>
        <w:rPr>
          <w:rFonts w:eastAsia="標楷體" w:hAnsi="標楷體" w:hint="eastAsia"/>
          <w:sz w:val="32"/>
          <w:szCs w:val="32"/>
        </w:rPr>
        <w:t>1</w:t>
      </w:r>
      <w:r w:rsidR="00D16499">
        <w:rPr>
          <w:rFonts w:eastAsia="標楷體" w:hAnsi="標楷體" w:hint="eastAsia"/>
          <w:sz w:val="32"/>
          <w:szCs w:val="32"/>
        </w:rPr>
        <w:t>1</w:t>
      </w:r>
      <w:r>
        <w:rPr>
          <w:rFonts w:eastAsia="標楷體" w:hAnsi="標楷體" w:hint="eastAsia"/>
          <w:sz w:val="32"/>
          <w:szCs w:val="32"/>
        </w:rPr>
        <w:t>0</w:t>
      </w:r>
      <w:r w:rsidRPr="001E0EBA">
        <w:rPr>
          <w:rFonts w:eastAsia="標楷體" w:hAnsi="標楷體"/>
          <w:sz w:val="32"/>
          <w:szCs w:val="32"/>
        </w:rPr>
        <w:t>學年度第</w:t>
      </w:r>
      <w:r w:rsidR="00D16499">
        <w:rPr>
          <w:rFonts w:eastAsia="標楷體" w:hAnsi="標楷體" w:hint="eastAsia"/>
          <w:sz w:val="32"/>
          <w:szCs w:val="32"/>
        </w:rPr>
        <w:t>1</w:t>
      </w:r>
      <w:r w:rsidRPr="001E0EBA">
        <w:rPr>
          <w:rFonts w:eastAsia="標楷體" w:hAnsi="標楷體"/>
          <w:sz w:val="32"/>
          <w:szCs w:val="32"/>
        </w:rPr>
        <w:t>學期資訊管理研究所博士班資格考</w:t>
      </w:r>
    </w:p>
    <w:p w:rsidR="00870456" w:rsidRDefault="00870456" w:rsidP="00745E4E">
      <w:pPr>
        <w:spacing w:beforeLines="50" w:before="180" w:line="440" w:lineRule="exact"/>
        <w:jc w:val="center"/>
        <w:rPr>
          <w:rFonts w:eastAsia="標楷體"/>
          <w:sz w:val="32"/>
          <w:szCs w:val="32"/>
        </w:rPr>
      </w:pPr>
      <w:r w:rsidRPr="001E0EBA">
        <w:rPr>
          <w:rFonts w:eastAsia="標楷體" w:hAnsi="標楷體"/>
          <w:sz w:val="32"/>
          <w:szCs w:val="32"/>
        </w:rPr>
        <w:t>科目</w:t>
      </w:r>
      <w:r w:rsidRPr="001E0EBA">
        <w:rPr>
          <w:rFonts w:eastAsia="標楷體"/>
          <w:sz w:val="32"/>
          <w:szCs w:val="32"/>
        </w:rPr>
        <w:t>:</w:t>
      </w:r>
      <w:r w:rsidR="00657746">
        <w:rPr>
          <w:rFonts w:eastAsia="標楷體" w:hint="eastAsia"/>
          <w:sz w:val="32"/>
          <w:szCs w:val="32"/>
        </w:rPr>
        <w:t>高等健康資訊學</w:t>
      </w:r>
    </w:p>
    <w:p w:rsidR="009E1700" w:rsidRDefault="009E1700" w:rsidP="00E93A66">
      <w:pPr>
        <w:spacing w:beforeLines="50" w:before="180" w:line="440" w:lineRule="exact"/>
        <w:rPr>
          <w:rFonts w:eastAsia="標楷體"/>
          <w:sz w:val="32"/>
          <w:szCs w:val="32"/>
        </w:rPr>
      </w:pPr>
      <w:r>
        <w:rPr>
          <w:rFonts w:eastAsia="標楷體" w:hint="eastAsia"/>
          <w:sz w:val="32"/>
          <w:szCs w:val="32"/>
        </w:rPr>
        <w:t>T</w:t>
      </w:r>
      <w:r>
        <w:rPr>
          <w:rFonts w:eastAsia="標楷體"/>
          <w:sz w:val="32"/>
          <w:szCs w:val="32"/>
        </w:rPr>
        <w:t>ime</w:t>
      </w:r>
      <w:r>
        <w:rPr>
          <w:rFonts w:eastAsia="標楷體" w:hint="eastAsia"/>
          <w:sz w:val="32"/>
          <w:szCs w:val="32"/>
        </w:rPr>
        <w:t>：</w:t>
      </w:r>
      <w:r>
        <w:rPr>
          <w:rFonts w:eastAsia="標楷體" w:hint="eastAsia"/>
          <w:sz w:val="32"/>
          <w:szCs w:val="32"/>
        </w:rPr>
        <w:t>2</w:t>
      </w:r>
      <w:r>
        <w:rPr>
          <w:rFonts w:eastAsia="標楷體"/>
          <w:sz w:val="32"/>
          <w:szCs w:val="32"/>
        </w:rPr>
        <w:t>021/11/</w:t>
      </w:r>
      <w:r w:rsidR="00746447">
        <w:rPr>
          <w:rFonts w:eastAsia="標楷體" w:hint="eastAsia"/>
          <w:sz w:val="32"/>
          <w:szCs w:val="32"/>
        </w:rPr>
        <w:t>12  14</w:t>
      </w:r>
      <w:r>
        <w:rPr>
          <w:rFonts w:eastAsia="標楷體"/>
          <w:sz w:val="32"/>
          <w:szCs w:val="32"/>
        </w:rPr>
        <w:t>:</w:t>
      </w:r>
      <w:r w:rsidR="00746447">
        <w:rPr>
          <w:rFonts w:eastAsia="標楷體" w:hint="eastAsia"/>
          <w:sz w:val="32"/>
          <w:szCs w:val="32"/>
        </w:rPr>
        <w:t>00</w:t>
      </w:r>
      <w:r>
        <w:rPr>
          <w:rFonts w:eastAsia="標楷體"/>
          <w:sz w:val="32"/>
          <w:szCs w:val="32"/>
        </w:rPr>
        <w:t>-</w:t>
      </w:r>
      <w:r w:rsidR="00746447">
        <w:rPr>
          <w:rFonts w:eastAsia="標楷體" w:hint="eastAsia"/>
          <w:sz w:val="32"/>
          <w:szCs w:val="32"/>
        </w:rPr>
        <w:t>17</w:t>
      </w:r>
      <w:r>
        <w:rPr>
          <w:rFonts w:eastAsia="標楷體"/>
          <w:sz w:val="32"/>
          <w:szCs w:val="32"/>
        </w:rPr>
        <w:t>:</w:t>
      </w:r>
      <w:r w:rsidR="00746447">
        <w:rPr>
          <w:rFonts w:eastAsia="標楷體" w:hint="eastAsia"/>
          <w:sz w:val="32"/>
          <w:szCs w:val="32"/>
        </w:rPr>
        <w:t>00</w:t>
      </w:r>
    </w:p>
    <w:p w:rsidR="009E1700" w:rsidRDefault="009E1700" w:rsidP="00E93A66">
      <w:pPr>
        <w:spacing w:beforeLines="50" w:before="180" w:line="440" w:lineRule="exact"/>
        <w:rPr>
          <w:rFonts w:eastAsia="標楷體"/>
          <w:sz w:val="32"/>
          <w:szCs w:val="32"/>
        </w:rPr>
      </w:pPr>
      <w:r>
        <w:rPr>
          <w:rFonts w:eastAsia="標楷體" w:hint="eastAsia"/>
          <w:sz w:val="32"/>
          <w:szCs w:val="32"/>
        </w:rPr>
        <w:t>F</w:t>
      </w:r>
      <w:r>
        <w:rPr>
          <w:rFonts w:eastAsia="標楷體"/>
          <w:sz w:val="32"/>
          <w:szCs w:val="32"/>
        </w:rPr>
        <w:t>ormat</w:t>
      </w:r>
      <w:r>
        <w:rPr>
          <w:rFonts w:eastAsia="標楷體" w:hint="eastAsia"/>
          <w:sz w:val="32"/>
          <w:szCs w:val="32"/>
        </w:rPr>
        <w:t>：</w:t>
      </w:r>
    </w:p>
    <w:p w:rsidR="002F2704" w:rsidRPr="002F2704" w:rsidRDefault="002F2704" w:rsidP="00745E4E">
      <w:pPr>
        <w:autoSpaceDE w:val="0"/>
        <w:autoSpaceDN w:val="0"/>
        <w:adjustRightInd w:val="0"/>
        <w:spacing w:beforeLines="50" w:before="180" w:line="400" w:lineRule="exact"/>
        <w:rPr>
          <w:kern w:val="0"/>
          <w:sz w:val="28"/>
          <w:szCs w:val="28"/>
          <w:highlight w:val="yellow"/>
        </w:rPr>
      </w:pPr>
      <w:r w:rsidRPr="002F2704">
        <w:rPr>
          <w:kern w:val="0"/>
          <w:sz w:val="28"/>
          <w:szCs w:val="28"/>
        </w:rPr>
        <w:t xml:space="preserve">After reading the following three abstracts which were cited from the Journal of the American Medical Informatics Association in the year of 2020, please answer the following questions in depth as possible as you can and based on some related theories if necessary. </w:t>
      </w:r>
    </w:p>
    <w:p w:rsidR="00D16499" w:rsidRPr="002F2704" w:rsidRDefault="00D16499" w:rsidP="00745E4E">
      <w:pPr>
        <w:pStyle w:val="a3"/>
        <w:numPr>
          <w:ilvl w:val="0"/>
          <w:numId w:val="11"/>
        </w:numPr>
        <w:autoSpaceDE w:val="0"/>
        <w:autoSpaceDN w:val="0"/>
        <w:adjustRightInd w:val="0"/>
        <w:spacing w:beforeLines="50" w:before="180" w:line="400" w:lineRule="exact"/>
        <w:ind w:leftChars="0"/>
        <w:rPr>
          <w:kern w:val="0"/>
          <w:sz w:val="28"/>
          <w:szCs w:val="28"/>
        </w:rPr>
      </w:pPr>
      <w:r w:rsidRPr="002F2704">
        <w:rPr>
          <w:kern w:val="0"/>
          <w:sz w:val="28"/>
          <w:szCs w:val="28"/>
        </w:rPr>
        <w:t>What are the differences between epidemic and pandemic? (6 %)</w:t>
      </w:r>
    </w:p>
    <w:p w:rsidR="00D16499" w:rsidRPr="002F2704" w:rsidRDefault="00D16499" w:rsidP="00745E4E">
      <w:pPr>
        <w:pStyle w:val="a3"/>
        <w:numPr>
          <w:ilvl w:val="0"/>
          <w:numId w:val="11"/>
        </w:numPr>
        <w:autoSpaceDE w:val="0"/>
        <w:autoSpaceDN w:val="0"/>
        <w:adjustRightInd w:val="0"/>
        <w:spacing w:beforeLines="50" w:before="180" w:line="400" w:lineRule="exact"/>
        <w:ind w:leftChars="0"/>
        <w:rPr>
          <w:kern w:val="0"/>
          <w:sz w:val="28"/>
          <w:szCs w:val="28"/>
        </w:rPr>
      </w:pPr>
      <w:r w:rsidRPr="002F2704">
        <w:rPr>
          <w:kern w:val="0"/>
          <w:sz w:val="28"/>
          <w:szCs w:val="28"/>
        </w:rPr>
        <w:t>What are the differences between the vaccine efficacy and effectiveness? (6%)</w:t>
      </w:r>
    </w:p>
    <w:p w:rsidR="00D16499" w:rsidRPr="002F2704" w:rsidRDefault="00D16499" w:rsidP="00745E4E">
      <w:pPr>
        <w:pStyle w:val="a3"/>
        <w:numPr>
          <w:ilvl w:val="0"/>
          <w:numId w:val="11"/>
        </w:numPr>
        <w:autoSpaceDE w:val="0"/>
        <w:autoSpaceDN w:val="0"/>
        <w:adjustRightInd w:val="0"/>
        <w:spacing w:beforeLines="50" w:before="180" w:line="400" w:lineRule="exact"/>
        <w:ind w:leftChars="0"/>
        <w:rPr>
          <w:kern w:val="0"/>
          <w:sz w:val="28"/>
          <w:szCs w:val="28"/>
        </w:rPr>
      </w:pPr>
      <w:r w:rsidRPr="002F2704">
        <w:rPr>
          <w:kern w:val="0"/>
          <w:sz w:val="28"/>
          <w:szCs w:val="28"/>
        </w:rPr>
        <w:t>What are the differences between the cohort study and the case control study? (7%)</w:t>
      </w:r>
    </w:p>
    <w:p w:rsidR="00D16499" w:rsidRPr="002F2704" w:rsidRDefault="00D16499" w:rsidP="00745E4E">
      <w:pPr>
        <w:pStyle w:val="a3"/>
        <w:numPr>
          <w:ilvl w:val="0"/>
          <w:numId w:val="11"/>
        </w:numPr>
        <w:autoSpaceDE w:val="0"/>
        <w:autoSpaceDN w:val="0"/>
        <w:adjustRightInd w:val="0"/>
        <w:spacing w:beforeLines="50" w:before="180" w:line="400" w:lineRule="exact"/>
        <w:ind w:leftChars="0"/>
        <w:rPr>
          <w:kern w:val="0"/>
          <w:sz w:val="28"/>
          <w:szCs w:val="28"/>
        </w:rPr>
      </w:pPr>
      <w:r w:rsidRPr="002F2704">
        <w:rPr>
          <w:kern w:val="0"/>
          <w:sz w:val="28"/>
          <w:szCs w:val="28"/>
        </w:rPr>
        <w:t>What are the relationships between the physician burnout and the hospital performance? (7%)</w:t>
      </w:r>
    </w:p>
    <w:p w:rsidR="00D16499" w:rsidRPr="002F2704" w:rsidRDefault="00D16499" w:rsidP="00745E4E">
      <w:pPr>
        <w:pStyle w:val="a3"/>
        <w:numPr>
          <w:ilvl w:val="0"/>
          <w:numId w:val="11"/>
        </w:numPr>
        <w:autoSpaceDE w:val="0"/>
        <w:autoSpaceDN w:val="0"/>
        <w:adjustRightInd w:val="0"/>
        <w:spacing w:beforeLines="50" w:before="180" w:line="400" w:lineRule="exact"/>
        <w:ind w:leftChars="0"/>
        <w:rPr>
          <w:rFonts w:eastAsia="標楷體"/>
          <w:sz w:val="28"/>
          <w:szCs w:val="28"/>
        </w:rPr>
      </w:pPr>
      <w:r w:rsidRPr="002F2704">
        <w:rPr>
          <w:kern w:val="0"/>
          <w:sz w:val="28"/>
          <w:szCs w:val="28"/>
        </w:rPr>
        <w:t>What are the relationships between the behaviors of healthcare consumers and healthcare providers? (7%)</w:t>
      </w:r>
    </w:p>
    <w:p w:rsidR="00F27654" w:rsidRPr="002F2704" w:rsidRDefault="008C6C2A" w:rsidP="00E93A66">
      <w:pPr>
        <w:pStyle w:val="a3"/>
        <w:numPr>
          <w:ilvl w:val="0"/>
          <w:numId w:val="11"/>
        </w:numPr>
        <w:pBdr>
          <w:top w:val="single" w:sz="4" w:space="1" w:color="auto"/>
        </w:pBdr>
        <w:autoSpaceDE w:val="0"/>
        <w:autoSpaceDN w:val="0"/>
        <w:adjustRightInd w:val="0"/>
        <w:spacing w:beforeLines="50" w:before="180" w:line="400" w:lineRule="exact"/>
        <w:ind w:leftChars="0" w:left="357" w:hanging="357"/>
        <w:rPr>
          <w:rFonts w:eastAsia="標楷體"/>
          <w:sz w:val="28"/>
          <w:szCs w:val="28"/>
        </w:rPr>
      </w:pPr>
      <w:r w:rsidRPr="002F2704">
        <w:rPr>
          <w:rFonts w:eastAsia="標楷體"/>
          <w:sz w:val="28"/>
          <w:szCs w:val="28"/>
        </w:rPr>
        <w:t>請分析</w:t>
      </w:r>
      <w:r w:rsidRPr="002F2704">
        <w:rPr>
          <w:rFonts w:eastAsia="標楷體" w:hint="eastAsia"/>
          <w:sz w:val="28"/>
          <w:szCs w:val="28"/>
        </w:rPr>
        <w:t>近五年</w:t>
      </w:r>
      <w:r w:rsidRPr="002F2704">
        <w:rPr>
          <w:rFonts w:eastAsia="標楷體"/>
          <w:sz w:val="28"/>
          <w:szCs w:val="28"/>
        </w:rPr>
        <w:t>Medical Informatics</w:t>
      </w:r>
      <w:r w:rsidRPr="002F2704">
        <w:rPr>
          <w:rFonts w:eastAsia="標楷體"/>
          <w:sz w:val="28"/>
          <w:szCs w:val="28"/>
        </w:rPr>
        <w:t>相關重要期刊中</w:t>
      </w:r>
      <w:r w:rsidRPr="002F2704">
        <w:rPr>
          <w:rFonts w:eastAsia="標楷體" w:hint="eastAsia"/>
          <w:sz w:val="28"/>
          <w:szCs w:val="28"/>
        </w:rPr>
        <w:t>，如</w:t>
      </w:r>
      <w:r w:rsidRPr="002F2704">
        <w:rPr>
          <w:rFonts w:eastAsia="標楷體" w:hint="eastAsia"/>
          <w:sz w:val="28"/>
          <w:szCs w:val="28"/>
        </w:rPr>
        <w:t xml:space="preserve"> </w:t>
      </w:r>
      <w:r w:rsidRPr="002F2704">
        <w:rPr>
          <w:rFonts w:eastAsia="標楷體"/>
          <w:sz w:val="28"/>
          <w:szCs w:val="28"/>
        </w:rPr>
        <w:t>Journal of the American Medical Informatics Association</w:t>
      </w:r>
      <w:r w:rsidRPr="002F2704">
        <w:rPr>
          <w:rFonts w:eastAsia="標楷體"/>
          <w:sz w:val="28"/>
          <w:szCs w:val="28"/>
        </w:rPr>
        <w:t>與</w:t>
      </w:r>
      <w:r w:rsidRPr="002F2704">
        <w:rPr>
          <w:rFonts w:eastAsia="標楷體"/>
          <w:sz w:val="28"/>
          <w:szCs w:val="28"/>
        </w:rPr>
        <w:t>Journal of Medical Internet</w:t>
      </w:r>
      <w:r w:rsidRPr="002F2704">
        <w:rPr>
          <w:rFonts w:eastAsia="標楷體" w:hint="eastAsia"/>
          <w:sz w:val="28"/>
          <w:szCs w:val="28"/>
        </w:rPr>
        <w:t>，智慧醫院的發展趨勢。</w:t>
      </w:r>
      <w:r w:rsidR="005347C1" w:rsidRPr="002F2704">
        <w:rPr>
          <w:rFonts w:eastAsia="標楷體" w:hint="eastAsia"/>
          <w:sz w:val="28"/>
          <w:szCs w:val="28"/>
        </w:rPr>
        <w:t>(33%)</w:t>
      </w:r>
    </w:p>
    <w:p w:rsidR="00745E4E" w:rsidRPr="00745E4E" w:rsidRDefault="002F2704" w:rsidP="00745E4E">
      <w:pPr>
        <w:pStyle w:val="a3"/>
        <w:numPr>
          <w:ilvl w:val="0"/>
          <w:numId w:val="11"/>
        </w:numPr>
        <w:spacing w:beforeLines="50" w:before="180" w:line="400" w:lineRule="exact"/>
        <w:ind w:leftChars="0" w:left="357" w:hanging="357"/>
        <w:rPr>
          <w:sz w:val="28"/>
        </w:rPr>
      </w:pPr>
      <w:r w:rsidRPr="002F2704">
        <w:rPr>
          <w:rFonts w:hint="eastAsia"/>
          <w:sz w:val="28"/>
        </w:rPr>
        <w:t>P</w:t>
      </w:r>
      <w:r w:rsidRPr="002F2704">
        <w:rPr>
          <w:sz w:val="28"/>
        </w:rPr>
        <w:t xml:space="preserve">lease read the following, what ways has been implemented in Taiwan until now, and against the balancing of the privacy and infection of the COVID-19 pandemic. </w:t>
      </w:r>
      <w:r w:rsidR="009E1700">
        <w:rPr>
          <w:sz w:val="28"/>
        </w:rPr>
        <w:t>W</w:t>
      </w:r>
      <w:r w:rsidR="009E1700" w:rsidRPr="002F2704">
        <w:rPr>
          <w:sz w:val="28"/>
        </w:rPr>
        <w:t xml:space="preserve">hat </w:t>
      </w:r>
      <w:r w:rsidRPr="002F2704">
        <w:rPr>
          <w:sz w:val="28"/>
        </w:rPr>
        <w:t>is their consideration for each implemented measure?</w:t>
      </w:r>
      <w:r w:rsidRPr="002F2704">
        <w:rPr>
          <w:rFonts w:eastAsia="標楷體" w:hint="eastAsia"/>
          <w:sz w:val="28"/>
          <w:szCs w:val="28"/>
        </w:rPr>
        <w:t xml:space="preserve"> (</w:t>
      </w:r>
      <w:r>
        <w:rPr>
          <w:rFonts w:eastAsia="標楷體" w:hint="eastAsia"/>
          <w:sz w:val="28"/>
          <w:szCs w:val="28"/>
        </w:rPr>
        <w:t>11</w:t>
      </w:r>
      <w:r w:rsidRPr="002F2704">
        <w:rPr>
          <w:rFonts w:eastAsia="標楷體" w:hint="eastAsia"/>
          <w:sz w:val="28"/>
          <w:szCs w:val="28"/>
        </w:rPr>
        <w:t>%)</w:t>
      </w:r>
    </w:p>
    <w:p w:rsidR="002F2704" w:rsidRDefault="002F2704" w:rsidP="00745E4E">
      <w:pPr>
        <w:pStyle w:val="a3"/>
        <w:spacing w:before="50"/>
        <w:ind w:leftChars="0" w:left="360"/>
        <w:jc w:val="center"/>
      </w:pPr>
      <w:r>
        <w:rPr>
          <w:noProof/>
        </w:rPr>
        <w:lastRenderedPageBreak/>
        <w:drawing>
          <wp:inline distT="0" distB="0" distL="0" distR="0" wp14:anchorId="2B7CF4C5" wp14:editId="73C70533">
            <wp:extent cx="6102985" cy="41529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337" b="1052"/>
                    <a:stretch/>
                  </pic:blipFill>
                  <pic:spPr bwMode="auto">
                    <a:xfrm>
                      <a:off x="0" y="0"/>
                      <a:ext cx="6133707" cy="4173805"/>
                    </a:xfrm>
                    <a:prstGeom prst="rect">
                      <a:avLst/>
                    </a:prstGeom>
                    <a:ln>
                      <a:noFill/>
                    </a:ln>
                    <a:extLst>
                      <a:ext uri="{53640926-AAD7-44D8-BBD7-CCE9431645EC}">
                        <a14:shadowObscured xmlns:a14="http://schemas.microsoft.com/office/drawing/2010/main"/>
                      </a:ext>
                    </a:extLst>
                  </pic:spPr>
                </pic:pic>
              </a:graphicData>
            </a:graphic>
          </wp:inline>
        </w:drawing>
      </w:r>
    </w:p>
    <w:p w:rsidR="002F2704" w:rsidRPr="002F2704" w:rsidRDefault="002F2704" w:rsidP="00745E4E">
      <w:pPr>
        <w:pStyle w:val="a3"/>
        <w:numPr>
          <w:ilvl w:val="0"/>
          <w:numId w:val="11"/>
        </w:numPr>
        <w:spacing w:beforeLines="50" w:before="180" w:line="400" w:lineRule="exact"/>
        <w:ind w:leftChars="0"/>
        <w:rPr>
          <w:sz w:val="28"/>
        </w:rPr>
      </w:pPr>
      <w:r w:rsidRPr="002F2704">
        <w:rPr>
          <w:rFonts w:hint="eastAsia"/>
          <w:sz w:val="28"/>
        </w:rPr>
        <w:t>D</w:t>
      </w:r>
      <w:r w:rsidRPr="002F2704">
        <w:rPr>
          <w:sz w:val="28"/>
        </w:rPr>
        <w:t>ata visualization can increase the cognition of the data for human. The following paper used it to create and evaluate the fall-prevention program. Suppose you are the one to generate the data charts. From the data warehouse viewpoint, what charts you can use to perform it, and what data you should collect to prevent the fall events.</w:t>
      </w:r>
      <w:r w:rsidR="00D30DAA" w:rsidRPr="00D30DAA">
        <w:t xml:space="preserve"> </w:t>
      </w:r>
      <w:r w:rsidR="00D30DAA" w:rsidRPr="00D30DAA">
        <w:rPr>
          <w:sz w:val="28"/>
        </w:rPr>
        <w:t>(11%)</w:t>
      </w:r>
    </w:p>
    <w:p w:rsidR="002F2704" w:rsidRDefault="002F2704" w:rsidP="00745E4E">
      <w:pPr>
        <w:spacing w:before="50"/>
        <w:jc w:val="center"/>
      </w:pPr>
      <w:r>
        <w:rPr>
          <w:noProof/>
        </w:rPr>
        <w:drawing>
          <wp:inline distT="0" distB="0" distL="0" distR="0" wp14:anchorId="351F7B5A" wp14:editId="13CBEF0F">
            <wp:extent cx="5274310" cy="4297680"/>
            <wp:effectExtent l="0" t="0" r="2540" b="762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414" b="4540"/>
                    <a:stretch/>
                  </pic:blipFill>
                  <pic:spPr bwMode="auto">
                    <a:xfrm>
                      <a:off x="0" y="0"/>
                      <a:ext cx="5274310" cy="4297680"/>
                    </a:xfrm>
                    <a:prstGeom prst="rect">
                      <a:avLst/>
                    </a:prstGeom>
                    <a:ln>
                      <a:noFill/>
                    </a:ln>
                    <a:extLst>
                      <a:ext uri="{53640926-AAD7-44D8-BBD7-CCE9431645EC}">
                        <a14:shadowObscured xmlns:a14="http://schemas.microsoft.com/office/drawing/2010/main"/>
                      </a:ext>
                    </a:extLst>
                  </pic:spPr>
                </pic:pic>
              </a:graphicData>
            </a:graphic>
          </wp:inline>
        </w:drawing>
      </w:r>
    </w:p>
    <w:p w:rsidR="00D30DAA" w:rsidRPr="00D30DAA" w:rsidRDefault="002F2704" w:rsidP="00745E4E">
      <w:pPr>
        <w:pStyle w:val="a3"/>
        <w:numPr>
          <w:ilvl w:val="0"/>
          <w:numId w:val="11"/>
        </w:numPr>
        <w:spacing w:beforeLines="50" w:before="180"/>
        <w:ind w:leftChars="0" w:left="357" w:hanging="357"/>
      </w:pPr>
      <w:r w:rsidRPr="002F2704">
        <w:rPr>
          <w:rFonts w:hint="eastAsia"/>
          <w:sz w:val="28"/>
        </w:rPr>
        <w:lastRenderedPageBreak/>
        <w:t>T</w:t>
      </w:r>
      <w:r w:rsidRPr="002F2704">
        <w:rPr>
          <w:sz w:val="28"/>
        </w:rPr>
        <w:t xml:space="preserve">he following paper mentioned the narratives can be a vehicle to identify the ADE (adverse drug events). Please guess what narratives in patient record can leak the possibilities of the ADE, and what is the implication of the terms/clauses related to the ADE. </w:t>
      </w:r>
      <w:r w:rsidR="00D30DAA" w:rsidRPr="00D30DAA">
        <w:rPr>
          <w:sz w:val="28"/>
        </w:rPr>
        <w:t>(11%)</w:t>
      </w:r>
    </w:p>
    <w:p w:rsidR="002F2704" w:rsidRDefault="002F2704" w:rsidP="00745E4E">
      <w:pPr>
        <w:spacing w:beforeLines="50" w:before="180"/>
        <w:jc w:val="center"/>
      </w:pPr>
      <w:r>
        <w:rPr>
          <w:noProof/>
        </w:rPr>
        <w:drawing>
          <wp:inline distT="0" distB="0" distL="0" distR="0" wp14:anchorId="44AD5D9C" wp14:editId="49ECFAD2">
            <wp:extent cx="5274310" cy="3680460"/>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1554" b="6720"/>
                    <a:stretch/>
                  </pic:blipFill>
                  <pic:spPr bwMode="auto">
                    <a:xfrm>
                      <a:off x="0" y="0"/>
                      <a:ext cx="5274310" cy="3680460"/>
                    </a:xfrm>
                    <a:prstGeom prst="rect">
                      <a:avLst/>
                    </a:prstGeom>
                    <a:ln>
                      <a:noFill/>
                    </a:ln>
                    <a:extLst>
                      <a:ext uri="{53640926-AAD7-44D8-BBD7-CCE9431645EC}">
                        <a14:shadowObscured xmlns:a14="http://schemas.microsoft.com/office/drawing/2010/main"/>
                      </a:ext>
                    </a:extLst>
                  </pic:spPr>
                </pic:pic>
              </a:graphicData>
            </a:graphic>
          </wp:inline>
        </w:drawing>
      </w:r>
    </w:p>
    <w:p w:rsidR="002F2704" w:rsidRPr="00D01C5C" w:rsidRDefault="00F27654" w:rsidP="002F2704">
      <w:pPr>
        <w:widowControl/>
        <w:rPr>
          <w:rStyle w:val="ab"/>
          <w:i w:val="0"/>
          <w:color w:val="2A2A2A"/>
          <w:sz w:val="28"/>
          <w:szCs w:val="28"/>
          <w:bdr w:val="none" w:sz="0" w:space="0" w:color="auto" w:frame="1"/>
          <w:shd w:val="clear" w:color="auto" w:fill="FFFFFF"/>
        </w:rPr>
      </w:pPr>
      <w:r>
        <w:rPr>
          <w:rFonts w:eastAsia="標楷體"/>
          <w:sz w:val="28"/>
          <w:szCs w:val="28"/>
        </w:rPr>
        <w:br w:type="page"/>
      </w:r>
      <w:r w:rsidR="002F2704" w:rsidRPr="00D01C5C">
        <w:rPr>
          <w:rStyle w:val="ab"/>
          <w:color w:val="2A2A2A"/>
          <w:sz w:val="28"/>
          <w:szCs w:val="28"/>
          <w:bdr w:val="none" w:sz="0" w:space="0" w:color="auto" w:frame="1"/>
          <w:shd w:val="clear" w:color="auto" w:fill="FFFFFF"/>
        </w:rPr>
        <w:lastRenderedPageBreak/>
        <w:t>Journal of the American Medical Informatics Association</w:t>
      </w:r>
      <w:r w:rsidR="002F2704" w:rsidRPr="00D01C5C">
        <w:rPr>
          <w:i/>
          <w:color w:val="2A2A2A"/>
          <w:sz w:val="28"/>
          <w:szCs w:val="28"/>
          <w:shd w:val="clear" w:color="auto" w:fill="FFFFFF"/>
        </w:rPr>
        <w:t>, Volume 27, Issue 6, June 2020, Pages 853–859</w:t>
      </w:r>
    </w:p>
    <w:p w:rsidR="002F2704" w:rsidRDefault="002F2704" w:rsidP="002F2704">
      <w:pPr>
        <w:widowControl/>
        <w:rPr>
          <w:rStyle w:val="ab"/>
          <w:i w:val="0"/>
          <w:color w:val="2A2A2A"/>
          <w:szCs w:val="24"/>
          <w:bdr w:val="none" w:sz="0" w:space="0" w:color="auto" w:frame="1"/>
          <w:shd w:val="clear" w:color="auto" w:fill="FFFFFF"/>
        </w:rPr>
      </w:pP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Abstract</w:t>
      </w:r>
      <w:r>
        <w:rPr>
          <w:rStyle w:val="ab"/>
          <w:rFonts w:hint="eastAsia"/>
          <w:color w:val="2A2A2A"/>
          <w:szCs w:val="24"/>
          <w:bdr w:val="none" w:sz="0" w:space="0" w:color="auto" w:frame="1"/>
          <w:shd w:val="clear" w:color="auto" w:fill="FFFFFF"/>
        </w:rPr>
        <w:t xml:space="preserve"> (I)</w:t>
      </w: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Objective</w:t>
      </w: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To describe the implementation of technological support important for optimizing clinical management of the COVID-19</w:t>
      </w:r>
      <w:r w:rsidRPr="006A138A">
        <w:rPr>
          <w:rStyle w:val="ab"/>
          <w:color w:val="FF0000"/>
          <w:szCs w:val="24"/>
          <w:bdr w:val="none" w:sz="0" w:space="0" w:color="auto" w:frame="1"/>
          <w:shd w:val="clear" w:color="auto" w:fill="FFFFFF"/>
        </w:rPr>
        <w:t xml:space="preserve"> pandemic</w:t>
      </w:r>
      <w:r w:rsidRPr="00D01C5C">
        <w:rPr>
          <w:rStyle w:val="ab"/>
          <w:color w:val="2A2A2A"/>
          <w:szCs w:val="24"/>
          <w:bdr w:val="none" w:sz="0" w:space="0" w:color="auto" w:frame="1"/>
          <w:shd w:val="clear" w:color="auto" w:fill="FFFFFF"/>
        </w:rPr>
        <w:t>.</w:t>
      </w:r>
    </w:p>
    <w:p w:rsidR="002F2704" w:rsidRPr="00D01C5C" w:rsidRDefault="002F2704" w:rsidP="002F2704">
      <w:pPr>
        <w:widowControl/>
        <w:rPr>
          <w:rStyle w:val="ab"/>
          <w:i w:val="0"/>
          <w:color w:val="2A2A2A"/>
          <w:szCs w:val="24"/>
          <w:bdr w:val="none" w:sz="0" w:space="0" w:color="auto" w:frame="1"/>
          <w:shd w:val="clear" w:color="auto" w:fill="FFFFFF"/>
        </w:rPr>
      </w:pP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Materials and Methods</w:t>
      </w: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Our health system has confirmed prior and current cases of COVID-19. An Incident Command Center was established early in the crisis and helped identify electronic health record (EHR)-based tools to support clinical care.</w:t>
      </w:r>
    </w:p>
    <w:p w:rsidR="002F2704" w:rsidRPr="00D01C5C" w:rsidRDefault="002F2704" w:rsidP="002F2704">
      <w:pPr>
        <w:widowControl/>
        <w:rPr>
          <w:rStyle w:val="ab"/>
          <w:i w:val="0"/>
          <w:color w:val="2A2A2A"/>
          <w:szCs w:val="24"/>
          <w:bdr w:val="none" w:sz="0" w:space="0" w:color="auto" w:frame="1"/>
          <w:shd w:val="clear" w:color="auto" w:fill="FFFFFF"/>
        </w:rPr>
      </w:pP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Results</w:t>
      </w: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We outline the design and implementation of EHR-based rapid screening processes, laboratory testing, clinical decision support, reporting tools, and patient-facing technology related to COVID-19.</w:t>
      </w:r>
    </w:p>
    <w:p w:rsidR="002F2704" w:rsidRPr="00D01C5C" w:rsidRDefault="002F2704" w:rsidP="002F2704">
      <w:pPr>
        <w:widowControl/>
        <w:rPr>
          <w:rStyle w:val="ab"/>
          <w:i w:val="0"/>
          <w:color w:val="2A2A2A"/>
          <w:szCs w:val="24"/>
          <w:bdr w:val="none" w:sz="0" w:space="0" w:color="auto" w:frame="1"/>
          <w:shd w:val="clear" w:color="auto" w:fill="FFFFFF"/>
        </w:rPr>
      </w:pP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Discussion</w:t>
      </w: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The EHR is a useful tool to enable rapid deployment of standardized processes. UC San Diego Health built multiple COVID-19-specific tools to support outbreak management, including scripted triaging, electronic check-in, standard ordering and documentation, secure messaging, real-time data analytics, and telemedicine capabilities. Challenges included the need to frequently adjust build to meet rapidly evolving requirements, communication, and adoption, and to coordinate the needs of multiple stakeholders while maintaining high-quality, prepandemic medical care.</w:t>
      </w:r>
    </w:p>
    <w:p w:rsidR="002F2704" w:rsidRPr="00D01C5C" w:rsidRDefault="002F2704" w:rsidP="002F2704">
      <w:pPr>
        <w:widowControl/>
        <w:rPr>
          <w:rStyle w:val="ab"/>
          <w:i w:val="0"/>
          <w:color w:val="2A2A2A"/>
          <w:szCs w:val="24"/>
          <w:bdr w:val="none" w:sz="0" w:space="0" w:color="auto" w:frame="1"/>
          <w:shd w:val="clear" w:color="auto" w:fill="FFFFFF"/>
        </w:rPr>
      </w:pPr>
    </w:p>
    <w:p w:rsidR="002F2704" w:rsidRPr="00D01C5C" w:rsidRDefault="002F2704" w:rsidP="002F2704">
      <w:pPr>
        <w:widowControl/>
        <w:rPr>
          <w:rStyle w:val="ab"/>
          <w:i w:val="0"/>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Conclusion</w:t>
      </w:r>
    </w:p>
    <w:p w:rsidR="00E303A1" w:rsidRDefault="002F2704" w:rsidP="002F2704">
      <w:pPr>
        <w:widowControl/>
        <w:rPr>
          <w:rStyle w:val="ab"/>
          <w:color w:val="2A2A2A"/>
          <w:szCs w:val="24"/>
          <w:bdr w:val="none" w:sz="0" w:space="0" w:color="auto" w:frame="1"/>
          <w:shd w:val="clear" w:color="auto" w:fill="FFFFFF"/>
        </w:rPr>
      </w:pPr>
      <w:r w:rsidRPr="00D01C5C">
        <w:rPr>
          <w:rStyle w:val="ab"/>
          <w:color w:val="2A2A2A"/>
          <w:szCs w:val="24"/>
          <w:bdr w:val="none" w:sz="0" w:space="0" w:color="auto" w:frame="1"/>
          <w:shd w:val="clear" w:color="auto" w:fill="FFFFFF"/>
        </w:rPr>
        <w:t>The EHR is an essential tool in supporting the clinical needs of a health system managing the COVID-19 pandemic.</w:t>
      </w:r>
    </w:p>
    <w:p w:rsidR="00E303A1" w:rsidRDefault="00E303A1" w:rsidP="002F2704">
      <w:pPr>
        <w:widowControl/>
        <w:rPr>
          <w:rStyle w:val="ab"/>
          <w:color w:val="2A2A2A"/>
          <w:szCs w:val="24"/>
          <w:bdr w:val="none" w:sz="0" w:space="0" w:color="auto" w:frame="1"/>
          <w:shd w:val="clear" w:color="auto" w:fill="FFFFFF"/>
        </w:rPr>
      </w:pPr>
    </w:p>
    <w:p w:rsidR="00E303A1" w:rsidRDefault="00E303A1" w:rsidP="002F2704">
      <w:pPr>
        <w:widowControl/>
        <w:rPr>
          <w:rStyle w:val="ab"/>
          <w:color w:val="2A2A2A"/>
          <w:szCs w:val="24"/>
          <w:bdr w:val="none" w:sz="0" w:space="0" w:color="auto" w:frame="1"/>
          <w:shd w:val="clear" w:color="auto" w:fill="FFFFFF"/>
        </w:rPr>
      </w:pPr>
    </w:p>
    <w:p w:rsidR="00E303A1" w:rsidRDefault="00E303A1" w:rsidP="002F2704">
      <w:pPr>
        <w:widowControl/>
        <w:rPr>
          <w:rStyle w:val="ab"/>
          <w:color w:val="2A2A2A"/>
          <w:szCs w:val="24"/>
          <w:bdr w:val="none" w:sz="0" w:space="0" w:color="auto" w:frame="1"/>
          <w:shd w:val="clear" w:color="auto" w:fill="FFFFFF"/>
        </w:rPr>
      </w:pPr>
    </w:p>
    <w:p w:rsidR="00E303A1" w:rsidRDefault="00E303A1" w:rsidP="002F2704">
      <w:pPr>
        <w:widowControl/>
        <w:rPr>
          <w:rStyle w:val="ab"/>
          <w:color w:val="2A2A2A"/>
          <w:szCs w:val="24"/>
          <w:bdr w:val="none" w:sz="0" w:space="0" w:color="auto" w:frame="1"/>
          <w:shd w:val="clear" w:color="auto" w:fill="FFFFFF"/>
        </w:rPr>
      </w:pPr>
    </w:p>
    <w:p w:rsidR="00E303A1" w:rsidRDefault="00E303A1" w:rsidP="002F2704">
      <w:pPr>
        <w:widowControl/>
        <w:rPr>
          <w:rStyle w:val="ab"/>
          <w:color w:val="2A2A2A"/>
          <w:szCs w:val="24"/>
          <w:bdr w:val="none" w:sz="0" w:space="0" w:color="auto" w:frame="1"/>
          <w:shd w:val="clear" w:color="auto" w:fill="FFFFFF"/>
        </w:rPr>
      </w:pPr>
    </w:p>
    <w:p w:rsidR="00E303A1" w:rsidRDefault="00E303A1" w:rsidP="002F2704">
      <w:pPr>
        <w:widowControl/>
        <w:rPr>
          <w:rStyle w:val="ab"/>
          <w:color w:val="2A2A2A"/>
          <w:szCs w:val="24"/>
          <w:bdr w:val="none" w:sz="0" w:space="0" w:color="auto" w:frame="1"/>
          <w:shd w:val="clear" w:color="auto" w:fill="FFFFFF"/>
        </w:rPr>
      </w:pPr>
    </w:p>
    <w:p w:rsidR="002F2704" w:rsidRPr="002D5305" w:rsidRDefault="002D5305" w:rsidP="002F2704">
      <w:pPr>
        <w:widowControl/>
        <w:rPr>
          <w:rStyle w:val="ab"/>
          <w:i w:val="0"/>
          <w:color w:val="2A2A2A"/>
          <w:szCs w:val="24"/>
          <w:bdr w:val="none" w:sz="0" w:space="0" w:color="auto" w:frame="1"/>
          <w:shd w:val="clear" w:color="auto" w:fill="FFFFFF"/>
        </w:rPr>
      </w:pPr>
      <w:r w:rsidRPr="002D5305">
        <w:rPr>
          <w:rStyle w:val="ab"/>
          <w:rFonts w:hint="eastAsia"/>
          <w:i w:val="0"/>
          <w:color w:val="2A2A2A"/>
          <w:sz w:val="144"/>
          <w:szCs w:val="24"/>
          <w:highlight w:val="yellow"/>
          <w:bdr w:val="none" w:sz="0" w:space="0" w:color="auto" w:frame="1"/>
          <w:shd w:val="clear" w:color="auto" w:fill="FFFFFF"/>
        </w:rPr>
        <w:t>本頁為題</w:t>
      </w:r>
      <w:r w:rsidRPr="002D5305">
        <w:rPr>
          <w:rStyle w:val="ab"/>
          <w:rFonts w:hint="eastAsia"/>
          <w:i w:val="0"/>
          <w:color w:val="2A2A2A"/>
          <w:sz w:val="144"/>
          <w:szCs w:val="24"/>
          <w:highlight w:val="yellow"/>
          <w:bdr w:val="none" w:sz="0" w:space="0" w:color="auto" w:frame="1"/>
          <w:shd w:val="clear" w:color="auto" w:fill="FFFFFF"/>
        </w:rPr>
        <w:t>1~5</w:t>
      </w:r>
      <w:r w:rsidR="002F2704" w:rsidRPr="002D5305">
        <w:rPr>
          <w:rStyle w:val="ab"/>
          <w:i w:val="0"/>
          <w:color w:val="2A2A2A"/>
          <w:szCs w:val="24"/>
          <w:bdr w:val="none" w:sz="0" w:space="0" w:color="auto" w:frame="1"/>
          <w:shd w:val="clear" w:color="auto" w:fill="FFFFFF"/>
        </w:rPr>
        <w:br w:type="page"/>
      </w:r>
    </w:p>
    <w:p w:rsidR="002F2704" w:rsidRPr="00D01C5C" w:rsidRDefault="002F2704" w:rsidP="002F2704">
      <w:pPr>
        <w:widowControl/>
        <w:rPr>
          <w:rStyle w:val="ab"/>
          <w:i w:val="0"/>
          <w:color w:val="2A2A2A"/>
          <w:sz w:val="28"/>
          <w:szCs w:val="28"/>
          <w:bdr w:val="none" w:sz="0" w:space="0" w:color="auto" w:frame="1"/>
          <w:shd w:val="clear" w:color="auto" w:fill="FFFFFF"/>
        </w:rPr>
      </w:pPr>
      <w:r w:rsidRPr="00D01C5C">
        <w:rPr>
          <w:rStyle w:val="ab"/>
          <w:color w:val="2A2A2A"/>
          <w:sz w:val="28"/>
          <w:szCs w:val="28"/>
          <w:bdr w:val="none" w:sz="0" w:space="0" w:color="auto" w:frame="1"/>
          <w:shd w:val="clear" w:color="auto" w:fill="FFFFFF"/>
        </w:rPr>
        <w:lastRenderedPageBreak/>
        <w:t>Journal of the American Medical Informatics Association</w:t>
      </w:r>
      <w:r w:rsidRPr="00D01C5C">
        <w:rPr>
          <w:i/>
          <w:color w:val="2A2A2A"/>
          <w:sz w:val="28"/>
          <w:szCs w:val="28"/>
          <w:shd w:val="clear" w:color="auto" w:fill="FFFFFF"/>
        </w:rPr>
        <w:t>, Volume 27, Issue 9, September 2020, Pages 1401–1410</w:t>
      </w:r>
    </w:p>
    <w:p w:rsidR="002F2704" w:rsidRDefault="002F2704" w:rsidP="002F2704">
      <w:pPr>
        <w:widowControl/>
        <w:rPr>
          <w:rStyle w:val="ab"/>
          <w:i w:val="0"/>
          <w:color w:val="2A2A2A"/>
          <w:szCs w:val="24"/>
          <w:bdr w:val="none" w:sz="0" w:space="0" w:color="auto" w:frame="1"/>
          <w:shd w:val="clear" w:color="auto" w:fill="FFFFFF"/>
        </w:rPr>
      </w:pP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Abstract</w:t>
      </w:r>
      <w:r>
        <w:rPr>
          <w:rStyle w:val="ab"/>
          <w:rFonts w:hint="eastAsia"/>
          <w:color w:val="2A2A2A"/>
          <w:szCs w:val="24"/>
          <w:bdr w:val="none" w:sz="0" w:space="0" w:color="auto" w:frame="1"/>
          <w:shd w:val="clear" w:color="auto" w:fill="FFFFFF"/>
        </w:rPr>
        <w:t xml:space="preserve"> (II)</w:t>
      </w: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Objective</w:t>
      </w: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 xml:space="preserve">The study sought to examine the association between </w:t>
      </w:r>
      <w:r w:rsidRPr="006A138A">
        <w:rPr>
          <w:rStyle w:val="ab"/>
          <w:color w:val="FF0000"/>
          <w:szCs w:val="24"/>
          <w:bdr w:val="none" w:sz="0" w:space="0" w:color="auto" w:frame="1"/>
          <w:shd w:val="clear" w:color="auto" w:fill="FFFFFF"/>
        </w:rPr>
        <w:t>clinician burnout</w:t>
      </w:r>
      <w:r w:rsidRPr="00604B38">
        <w:rPr>
          <w:rStyle w:val="ab"/>
          <w:color w:val="2A2A2A"/>
          <w:szCs w:val="24"/>
          <w:bdr w:val="none" w:sz="0" w:space="0" w:color="auto" w:frame="1"/>
          <w:shd w:val="clear" w:color="auto" w:fill="FFFFFF"/>
        </w:rPr>
        <w:t xml:space="preserve"> and measures of electronic health record (EHR) </w:t>
      </w:r>
      <w:r w:rsidRPr="006A138A">
        <w:rPr>
          <w:rStyle w:val="ab"/>
          <w:color w:val="FF0000"/>
          <w:szCs w:val="24"/>
          <w:bdr w:val="none" w:sz="0" w:space="0" w:color="auto" w:frame="1"/>
          <w:shd w:val="clear" w:color="auto" w:fill="FFFFFF"/>
        </w:rPr>
        <w:t>workload and efficiency</w:t>
      </w:r>
      <w:r w:rsidRPr="00604B38">
        <w:rPr>
          <w:rStyle w:val="ab"/>
          <w:color w:val="2A2A2A"/>
          <w:szCs w:val="24"/>
          <w:bdr w:val="none" w:sz="0" w:space="0" w:color="auto" w:frame="1"/>
          <w:shd w:val="clear" w:color="auto" w:fill="FFFFFF"/>
        </w:rPr>
        <w:t>, using vendor-derived EHR action log data.</w:t>
      </w:r>
    </w:p>
    <w:p w:rsidR="002F2704" w:rsidRPr="00604B38" w:rsidRDefault="002F2704" w:rsidP="002F2704">
      <w:pPr>
        <w:widowControl/>
        <w:rPr>
          <w:rStyle w:val="ab"/>
          <w:i w:val="0"/>
          <w:color w:val="2A2A2A"/>
          <w:szCs w:val="24"/>
          <w:bdr w:val="none" w:sz="0" w:space="0" w:color="auto" w:frame="1"/>
          <w:shd w:val="clear" w:color="auto" w:fill="FFFFFF"/>
        </w:rPr>
      </w:pP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Materials and Methods</w:t>
      </w: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We combined data from a statewide clinician survey on burnout with Epic EHR data from the ambulatory sites of 2 large health systems; the combined dataset included 422 clinicians. We examined whether specific EHR workload and efficiency measures were independently associated with burnout symptoms, using multivariable logistic regression and controlling for clinician characteristics.</w:t>
      </w:r>
    </w:p>
    <w:p w:rsidR="002F2704" w:rsidRPr="00604B38" w:rsidRDefault="002F2704" w:rsidP="002F2704">
      <w:pPr>
        <w:widowControl/>
        <w:rPr>
          <w:rStyle w:val="ab"/>
          <w:i w:val="0"/>
          <w:color w:val="2A2A2A"/>
          <w:szCs w:val="24"/>
          <w:bdr w:val="none" w:sz="0" w:space="0" w:color="auto" w:frame="1"/>
          <w:shd w:val="clear" w:color="auto" w:fill="FFFFFF"/>
        </w:rPr>
      </w:pP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Results</w:t>
      </w: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Clinicians with the highest volume of patient call messages had almost 4 times the odds of burnout compared with clinicians with the fewest (adjusted odds ratio, 3.81; 95% confidence interval, 1.44-10.14; P = .007). No other workload measures were significantly associated with burnout. No efficiency variables were significantly associated with burnout in the main analysis; however, in a subset of clinicians for whom note entry data were available, clinicians in the top quartile of copy and paste use were significantly less likely to report burnout, with an adjusted odds ratio of 0.22 (95% confidence interval, 0.05-0.93; P = .039).</w:t>
      </w:r>
    </w:p>
    <w:p w:rsidR="002F2704" w:rsidRPr="00604B38" w:rsidRDefault="002F2704" w:rsidP="002F2704">
      <w:pPr>
        <w:widowControl/>
        <w:rPr>
          <w:rStyle w:val="ab"/>
          <w:i w:val="0"/>
          <w:color w:val="2A2A2A"/>
          <w:szCs w:val="24"/>
          <w:bdr w:val="none" w:sz="0" w:space="0" w:color="auto" w:frame="1"/>
          <w:shd w:val="clear" w:color="auto" w:fill="FFFFFF"/>
        </w:rPr>
      </w:pP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Discussion</w:t>
      </w: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High volumes of patient call messages were significantly associated with clinician burnout, even when accounting for other measures of workload and efficiency. In the EHR, “patient calls” encompass many of the inbox tasks occurring outside of face-to-face visits and likely represent an important target for improving clinician well-being.</w:t>
      </w:r>
    </w:p>
    <w:p w:rsidR="002F2704" w:rsidRPr="00604B38" w:rsidRDefault="002F2704" w:rsidP="002F2704">
      <w:pPr>
        <w:widowControl/>
        <w:rPr>
          <w:rStyle w:val="ab"/>
          <w:i w:val="0"/>
          <w:color w:val="2A2A2A"/>
          <w:szCs w:val="24"/>
          <w:bdr w:val="none" w:sz="0" w:space="0" w:color="auto" w:frame="1"/>
          <w:shd w:val="clear" w:color="auto" w:fill="FFFFFF"/>
        </w:rPr>
      </w:pPr>
    </w:p>
    <w:p w:rsidR="002F2704" w:rsidRPr="00604B38" w:rsidRDefault="002F2704" w:rsidP="002F2704">
      <w:pPr>
        <w:widowControl/>
        <w:rPr>
          <w:rStyle w:val="ab"/>
          <w:i w:val="0"/>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Conclusions</w:t>
      </w:r>
    </w:p>
    <w:p w:rsidR="002D5305" w:rsidRDefault="002F2704" w:rsidP="002F2704">
      <w:pPr>
        <w:widowControl/>
        <w:rPr>
          <w:rStyle w:val="ab"/>
          <w:color w:val="2A2A2A"/>
          <w:szCs w:val="24"/>
          <w:bdr w:val="none" w:sz="0" w:space="0" w:color="auto" w:frame="1"/>
          <w:shd w:val="clear" w:color="auto" w:fill="FFFFFF"/>
        </w:rPr>
      </w:pPr>
      <w:r w:rsidRPr="00604B38">
        <w:rPr>
          <w:rStyle w:val="ab"/>
          <w:color w:val="2A2A2A"/>
          <w:szCs w:val="24"/>
          <w:bdr w:val="none" w:sz="0" w:space="0" w:color="auto" w:frame="1"/>
          <w:shd w:val="clear" w:color="auto" w:fill="FFFFFF"/>
        </w:rPr>
        <w:t>Our results suggest that increased workload is associated with burnout and that EHR efficiency tools are not likely to reduce burnout symptoms, with the exception of copy and paste.</w:t>
      </w:r>
    </w:p>
    <w:p w:rsidR="002D5305" w:rsidRDefault="002D5305" w:rsidP="002F2704">
      <w:pPr>
        <w:widowControl/>
        <w:rPr>
          <w:rStyle w:val="ab"/>
          <w:color w:val="2A2A2A"/>
          <w:szCs w:val="24"/>
          <w:bdr w:val="none" w:sz="0" w:space="0" w:color="auto" w:frame="1"/>
          <w:shd w:val="clear" w:color="auto" w:fill="FFFFFF"/>
        </w:rPr>
      </w:pPr>
    </w:p>
    <w:p w:rsidR="002D5305" w:rsidRDefault="002D5305" w:rsidP="002F2704">
      <w:pPr>
        <w:widowControl/>
        <w:rPr>
          <w:rStyle w:val="ab"/>
          <w:color w:val="2A2A2A"/>
          <w:szCs w:val="24"/>
          <w:bdr w:val="none" w:sz="0" w:space="0" w:color="auto" w:frame="1"/>
          <w:shd w:val="clear" w:color="auto" w:fill="FFFFFF"/>
        </w:rPr>
      </w:pPr>
    </w:p>
    <w:p w:rsidR="002D5305" w:rsidRDefault="002D5305" w:rsidP="002F2704">
      <w:pPr>
        <w:widowControl/>
        <w:rPr>
          <w:rStyle w:val="ab"/>
          <w:color w:val="2A2A2A"/>
          <w:szCs w:val="24"/>
          <w:bdr w:val="none" w:sz="0" w:space="0" w:color="auto" w:frame="1"/>
          <w:shd w:val="clear" w:color="auto" w:fill="FFFFFF"/>
        </w:rPr>
      </w:pPr>
    </w:p>
    <w:p w:rsidR="002D5305" w:rsidRDefault="002D5305" w:rsidP="002F2704">
      <w:pPr>
        <w:widowControl/>
        <w:rPr>
          <w:rStyle w:val="ab"/>
          <w:color w:val="2A2A2A"/>
          <w:szCs w:val="24"/>
          <w:bdr w:val="none" w:sz="0" w:space="0" w:color="auto" w:frame="1"/>
          <w:shd w:val="clear" w:color="auto" w:fill="FFFFFF"/>
        </w:rPr>
      </w:pPr>
    </w:p>
    <w:p w:rsidR="002D5305" w:rsidRDefault="002D5305" w:rsidP="002F2704">
      <w:pPr>
        <w:widowControl/>
        <w:rPr>
          <w:rStyle w:val="ab"/>
          <w:color w:val="2A2A2A"/>
          <w:szCs w:val="24"/>
          <w:bdr w:val="none" w:sz="0" w:space="0" w:color="auto" w:frame="1"/>
          <w:shd w:val="clear" w:color="auto" w:fill="FFFFFF"/>
        </w:rPr>
      </w:pPr>
      <w:r w:rsidRPr="002D5305">
        <w:rPr>
          <w:rStyle w:val="ab"/>
          <w:rFonts w:hint="eastAsia"/>
          <w:i w:val="0"/>
          <w:color w:val="2A2A2A"/>
          <w:sz w:val="144"/>
          <w:szCs w:val="24"/>
          <w:highlight w:val="yellow"/>
          <w:bdr w:val="none" w:sz="0" w:space="0" w:color="auto" w:frame="1"/>
          <w:shd w:val="clear" w:color="auto" w:fill="FFFFFF"/>
        </w:rPr>
        <w:t>本頁為題</w:t>
      </w:r>
      <w:r w:rsidRPr="002D5305">
        <w:rPr>
          <w:rStyle w:val="ab"/>
          <w:rFonts w:hint="eastAsia"/>
          <w:i w:val="0"/>
          <w:color w:val="2A2A2A"/>
          <w:sz w:val="144"/>
          <w:szCs w:val="24"/>
          <w:highlight w:val="yellow"/>
          <w:bdr w:val="none" w:sz="0" w:space="0" w:color="auto" w:frame="1"/>
          <w:shd w:val="clear" w:color="auto" w:fill="FFFFFF"/>
        </w:rPr>
        <w:t>1~5</w:t>
      </w:r>
    </w:p>
    <w:p w:rsidR="002D5305" w:rsidRDefault="002D5305" w:rsidP="002F2704">
      <w:pPr>
        <w:widowControl/>
        <w:rPr>
          <w:rStyle w:val="ab"/>
          <w:color w:val="2A2A2A"/>
          <w:szCs w:val="24"/>
          <w:bdr w:val="none" w:sz="0" w:space="0" w:color="auto" w:frame="1"/>
          <w:shd w:val="clear" w:color="auto" w:fill="FFFFFF"/>
        </w:rPr>
      </w:pPr>
    </w:p>
    <w:p w:rsidR="002F2704" w:rsidRPr="00D01C5C" w:rsidRDefault="002F2704" w:rsidP="002D5305">
      <w:pPr>
        <w:widowControl/>
        <w:rPr>
          <w:i/>
          <w:sz w:val="28"/>
          <w:szCs w:val="28"/>
        </w:rPr>
      </w:pPr>
      <w:r w:rsidRPr="00604B38">
        <w:rPr>
          <w:rStyle w:val="ab"/>
          <w:color w:val="2A2A2A"/>
          <w:szCs w:val="24"/>
          <w:bdr w:val="none" w:sz="0" w:space="0" w:color="auto" w:frame="1"/>
          <w:shd w:val="clear" w:color="auto" w:fill="FFFFFF"/>
        </w:rPr>
        <w:br w:type="page"/>
      </w:r>
      <w:r w:rsidRPr="00D01C5C">
        <w:rPr>
          <w:rStyle w:val="ab"/>
          <w:color w:val="2A2A2A"/>
          <w:sz w:val="28"/>
          <w:szCs w:val="28"/>
          <w:bdr w:val="none" w:sz="0" w:space="0" w:color="auto" w:frame="1"/>
          <w:shd w:val="clear" w:color="auto" w:fill="FFFFFF"/>
        </w:rPr>
        <w:lastRenderedPageBreak/>
        <w:t>Journal of the American Medical Informatics Association</w:t>
      </w:r>
      <w:r w:rsidRPr="00D01C5C">
        <w:rPr>
          <w:i/>
          <w:color w:val="2A2A2A"/>
          <w:sz w:val="28"/>
          <w:szCs w:val="28"/>
          <w:shd w:val="clear" w:color="auto" w:fill="FFFFFF"/>
        </w:rPr>
        <w:t>, Volume 27, Issue 12, December 2020, Pages 1834–1843</w:t>
      </w:r>
    </w:p>
    <w:p w:rsidR="002F2704" w:rsidRDefault="002F2704" w:rsidP="002F2704"/>
    <w:p w:rsidR="002F2704" w:rsidRPr="001A2280" w:rsidRDefault="002F2704" w:rsidP="002F2704">
      <w:r w:rsidRPr="001A2280">
        <w:t>Abstract (</w:t>
      </w:r>
      <w:r>
        <w:t>I</w:t>
      </w:r>
      <w:r w:rsidRPr="001A2280">
        <w:t>I</w:t>
      </w:r>
      <w:r>
        <w:rPr>
          <w:rFonts w:hint="eastAsia"/>
        </w:rPr>
        <w:t>I</w:t>
      </w:r>
      <w:r w:rsidRPr="001A2280">
        <w:t>)</w:t>
      </w:r>
    </w:p>
    <w:p w:rsidR="002F2704" w:rsidRPr="001A2280" w:rsidRDefault="002F2704" w:rsidP="002F2704">
      <w:r w:rsidRPr="001A2280">
        <w:t>Objective</w:t>
      </w:r>
    </w:p>
    <w:p w:rsidR="002F2704" w:rsidRPr="001A2280" w:rsidRDefault="002F2704" w:rsidP="002F2704">
      <w:r w:rsidRPr="001A2280">
        <w:t>Improving the patient experience has become an essential component of any healthcare system’s performance metrics portfolio. In this study, we developed a machine learning model to predict a patient’s response to the Hospital Consumer Assessment of Healthcare Providers and Systems survey’s “Doctor Communications” domain questions while simultaneously identifying most impactful providers in a network.</w:t>
      </w:r>
    </w:p>
    <w:p w:rsidR="002F2704" w:rsidRPr="001A2280" w:rsidRDefault="002F2704" w:rsidP="002F2704"/>
    <w:p w:rsidR="002F2704" w:rsidRPr="001A2280" w:rsidRDefault="002F2704" w:rsidP="002F2704">
      <w:r w:rsidRPr="001A2280">
        <w:t>Materials and Methods</w:t>
      </w:r>
    </w:p>
    <w:p w:rsidR="002F2704" w:rsidRPr="001A2280" w:rsidRDefault="002F2704" w:rsidP="002F2704">
      <w:r w:rsidRPr="001A2280">
        <w:t xml:space="preserve">This is an observational study of patients admitted to a single tertiary care hospital between 2016 and 2020. Using machine learning algorithms, electronic health record data were used to predict patient responses to </w:t>
      </w:r>
      <w:r w:rsidRPr="006A138A">
        <w:rPr>
          <w:color w:val="FF0000"/>
        </w:rPr>
        <w:t xml:space="preserve">Hospital Consumer Assessment of Healthcare Providers </w:t>
      </w:r>
      <w:r w:rsidRPr="001A2280">
        <w:t>and Systems survey questions in the doctor domain, and patients who are at risk for responding negatively were identified. Model performance was assessed by area under receiver-operating characteristic curve. Social network analysis metrics were also used to identify providers most impactful to patient experience.</w:t>
      </w:r>
    </w:p>
    <w:p w:rsidR="002F2704" w:rsidRPr="001A2280" w:rsidRDefault="002F2704" w:rsidP="002F2704"/>
    <w:p w:rsidR="002F2704" w:rsidRPr="001A2280" w:rsidRDefault="002F2704" w:rsidP="002F2704">
      <w:r w:rsidRPr="001A2280">
        <w:t>Results</w:t>
      </w:r>
    </w:p>
    <w:p w:rsidR="002F2704" w:rsidRPr="001A2280" w:rsidRDefault="002F2704" w:rsidP="002F2704">
      <w:r w:rsidRPr="001A2280">
        <w:t>Using a random forest algorithm, patients’ responses to the following 3 questions were predicted: “During this hospital stay how often did doctors. 1) treat you with courtesy and respect? 2) explain things in a way that you could understand? 3) listen carefully to you?” with areas under the receiver-operating characteristic curve of 0.876, 0.819, and 0.819, respectively. Social network analysis found that doctors with higher centrality appear to have an outsized influence on patient experience, as measured by rank in the random forest model in the doctor domain.</w:t>
      </w:r>
    </w:p>
    <w:p w:rsidR="002F2704" w:rsidRPr="001A2280" w:rsidRDefault="002F2704" w:rsidP="002F2704"/>
    <w:p w:rsidR="002F2704" w:rsidRPr="001A2280" w:rsidRDefault="002F2704" w:rsidP="002F2704">
      <w:r w:rsidRPr="001A2280">
        <w:t>Conclusions</w:t>
      </w:r>
    </w:p>
    <w:p w:rsidR="002F2704" w:rsidRDefault="002F2704" w:rsidP="002F2704">
      <w:r w:rsidRPr="001A2280">
        <w:t>A machine learning algorithm identified patients at risk of a negative experience. Furthermore, a doctor social network framework provides metrics for identifying those providers that are most influential on the patient experience.</w:t>
      </w:r>
    </w:p>
    <w:p w:rsidR="00F35653" w:rsidRDefault="00F35653" w:rsidP="00F27654">
      <w:pPr>
        <w:autoSpaceDE w:val="0"/>
        <w:autoSpaceDN w:val="0"/>
        <w:adjustRightInd w:val="0"/>
        <w:spacing w:beforeLines="50" w:before="180" w:line="400" w:lineRule="exact"/>
        <w:rPr>
          <w:rFonts w:eastAsia="標楷體"/>
          <w:szCs w:val="24"/>
        </w:rPr>
      </w:pPr>
    </w:p>
    <w:p w:rsidR="002D5305" w:rsidRDefault="002D5305" w:rsidP="00F27654">
      <w:pPr>
        <w:autoSpaceDE w:val="0"/>
        <w:autoSpaceDN w:val="0"/>
        <w:adjustRightInd w:val="0"/>
        <w:spacing w:beforeLines="50" w:before="180" w:line="400" w:lineRule="exact"/>
        <w:rPr>
          <w:rFonts w:eastAsia="標楷體"/>
          <w:szCs w:val="24"/>
        </w:rPr>
      </w:pPr>
    </w:p>
    <w:p w:rsidR="002D5305" w:rsidRDefault="002D5305" w:rsidP="00F27654">
      <w:pPr>
        <w:autoSpaceDE w:val="0"/>
        <w:autoSpaceDN w:val="0"/>
        <w:adjustRightInd w:val="0"/>
        <w:spacing w:beforeLines="50" w:before="180" w:line="400" w:lineRule="exact"/>
        <w:rPr>
          <w:rFonts w:eastAsia="標楷體"/>
          <w:szCs w:val="24"/>
        </w:rPr>
      </w:pPr>
    </w:p>
    <w:p w:rsidR="002D5305" w:rsidRDefault="002D5305" w:rsidP="002D5305">
      <w:pPr>
        <w:widowControl/>
        <w:rPr>
          <w:rStyle w:val="ab"/>
          <w:color w:val="2A2A2A"/>
          <w:szCs w:val="24"/>
          <w:bdr w:val="none" w:sz="0" w:space="0" w:color="auto" w:frame="1"/>
          <w:shd w:val="clear" w:color="auto" w:fill="FFFFFF"/>
        </w:rPr>
      </w:pPr>
      <w:r w:rsidRPr="002D5305">
        <w:rPr>
          <w:rStyle w:val="ab"/>
          <w:rFonts w:hint="eastAsia"/>
          <w:i w:val="0"/>
          <w:color w:val="2A2A2A"/>
          <w:sz w:val="144"/>
          <w:szCs w:val="24"/>
          <w:highlight w:val="yellow"/>
          <w:bdr w:val="none" w:sz="0" w:space="0" w:color="auto" w:frame="1"/>
          <w:shd w:val="clear" w:color="auto" w:fill="FFFFFF"/>
        </w:rPr>
        <w:t>本頁為題</w:t>
      </w:r>
      <w:r w:rsidRPr="002D5305">
        <w:rPr>
          <w:rStyle w:val="ab"/>
          <w:rFonts w:hint="eastAsia"/>
          <w:i w:val="0"/>
          <w:color w:val="2A2A2A"/>
          <w:sz w:val="144"/>
          <w:szCs w:val="24"/>
          <w:highlight w:val="yellow"/>
          <w:bdr w:val="none" w:sz="0" w:space="0" w:color="auto" w:frame="1"/>
          <w:shd w:val="clear" w:color="auto" w:fill="FFFFFF"/>
        </w:rPr>
        <w:t>1~5</w:t>
      </w:r>
    </w:p>
    <w:p w:rsidR="002D5305" w:rsidRPr="002D5305" w:rsidRDefault="002D5305" w:rsidP="002D5305">
      <w:pPr>
        <w:autoSpaceDE w:val="0"/>
        <w:autoSpaceDN w:val="0"/>
        <w:adjustRightInd w:val="0"/>
        <w:spacing w:beforeLines="50" w:before="180" w:line="400" w:lineRule="exact"/>
        <w:rPr>
          <w:rFonts w:eastAsia="標楷體"/>
          <w:sz w:val="18"/>
          <w:szCs w:val="24"/>
        </w:rPr>
      </w:pPr>
    </w:p>
    <w:sectPr w:rsidR="002D5305" w:rsidRPr="002D5305" w:rsidSect="00745E4E">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A2D" w:rsidRDefault="00DC0A2D" w:rsidP="00AE1A32">
      <w:r>
        <w:separator/>
      </w:r>
    </w:p>
  </w:endnote>
  <w:endnote w:type="continuationSeparator" w:id="0">
    <w:p w:rsidR="00DC0A2D" w:rsidRDefault="00DC0A2D" w:rsidP="00AE1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A2D" w:rsidRDefault="00DC0A2D" w:rsidP="00AE1A32">
      <w:r>
        <w:separator/>
      </w:r>
    </w:p>
  </w:footnote>
  <w:footnote w:type="continuationSeparator" w:id="0">
    <w:p w:rsidR="00DC0A2D" w:rsidRDefault="00DC0A2D" w:rsidP="00AE1A3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97C6D"/>
    <w:multiLevelType w:val="hybridMultilevel"/>
    <w:tmpl w:val="96C4768A"/>
    <w:lvl w:ilvl="0" w:tplc="0409000F">
      <w:start w:val="1"/>
      <w:numFmt w:val="decimal"/>
      <w:lvlText w:val="%1."/>
      <w:lvlJc w:val="left"/>
      <w:pPr>
        <w:ind w:left="480" w:hanging="480"/>
      </w:pPr>
    </w:lvl>
    <w:lvl w:ilvl="1" w:tplc="AB9899A6">
      <w:start w:val="1"/>
      <w:numFmt w:val="ideographTraditional"/>
      <w:lvlText w:val="%2、"/>
      <w:lvlJc w:val="left"/>
      <w:pPr>
        <w:ind w:left="96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BFD0094"/>
    <w:multiLevelType w:val="hybridMultilevel"/>
    <w:tmpl w:val="6A665FEC"/>
    <w:lvl w:ilvl="0" w:tplc="39B2BE8A">
      <w:start w:val="1"/>
      <w:numFmt w:val="decimal"/>
      <w:lvlText w:val="%1."/>
      <w:lvlJc w:val="left"/>
      <w:pPr>
        <w:ind w:left="360" w:hanging="36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061E60"/>
    <w:multiLevelType w:val="hybridMultilevel"/>
    <w:tmpl w:val="F364C8DA"/>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38C2E5D"/>
    <w:multiLevelType w:val="hybridMultilevel"/>
    <w:tmpl w:val="B5C4D83E"/>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6B6381"/>
    <w:multiLevelType w:val="hybridMultilevel"/>
    <w:tmpl w:val="52DC29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8663D4D"/>
    <w:multiLevelType w:val="hybridMultilevel"/>
    <w:tmpl w:val="FD844EF4"/>
    <w:lvl w:ilvl="0" w:tplc="773E24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3DD1D47"/>
    <w:multiLevelType w:val="hybridMultilevel"/>
    <w:tmpl w:val="C2B06C18"/>
    <w:lvl w:ilvl="0" w:tplc="C0DEA6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5B551A2"/>
    <w:multiLevelType w:val="hybridMultilevel"/>
    <w:tmpl w:val="E682A0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7585F10"/>
    <w:multiLevelType w:val="hybridMultilevel"/>
    <w:tmpl w:val="9F924DCE"/>
    <w:lvl w:ilvl="0" w:tplc="BEC646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9F648C0"/>
    <w:multiLevelType w:val="hybridMultilevel"/>
    <w:tmpl w:val="F77CDD84"/>
    <w:lvl w:ilvl="0" w:tplc="F97CC8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21B5060"/>
    <w:multiLevelType w:val="hybridMultilevel"/>
    <w:tmpl w:val="5830A5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2"/>
  </w:num>
  <w:num w:numId="7">
    <w:abstractNumId w:val="0"/>
  </w:num>
  <w:num w:numId="8">
    <w:abstractNumId w:val="0"/>
  </w:num>
  <w:num w:numId="9">
    <w:abstractNumId w:val="3"/>
  </w:num>
  <w:num w:numId="10">
    <w:abstractNumId w:val="10"/>
  </w:num>
  <w:num w:numId="11">
    <w:abstractNumId w:val="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en-US" w:vendorID="64" w:dllVersion="4096" w:nlCheck="1" w:checkStyle="0"/>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0MDIxs7AwNTMyMLVQ0lEKTi0uzszPAykwrAUAS1xo2CwAAAA="/>
  </w:docVars>
  <w:rsids>
    <w:rsidRoot w:val="00870456"/>
    <w:rsid w:val="000C33D9"/>
    <w:rsid w:val="00192571"/>
    <w:rsid w:val="00197C1E"/>
    <w:rsid w:val="002D2C58"/>
    <w:rsid w:val="002D5305"/>
    <w:rsid w:val="002F107B"/>
    <w:rsid w:val="002F2704"/>
    <w:rsid w:val="003555B1"/>
    <w:rsid w:val="0048797B"/>
    <w:rsid w:val="004B6CAE"/>
    <w:rsid w:val="004E2C97"/>
    <w:rsid w:val="005347C1"/>
    <w:rsid w:val="00657746"/>
    <w:rsid w:val="006D70CE"/>
    <w:rsid w:val="006F100D"/>
    <w:rsid w:val="006F59F5"/>
    <w:rsid w:val="007131B6"/>
    <w:rsid w:val="00745E4E"/>
    <w:rsid w:val="00746447"/>
    <w:rsid w:val="008063C5"/>
    <w:rsid w:val="00870456"/>
    <w:rsid w:val="008C6C2A"/>
    <w:rsid w:val="008D0473"/>
    <w:rsid w:val="009262AC"/>
    <w:rsid w:val="0095095C"/>
    <w:rsid w:val="00952666"/>
    <w:rsid w:val="00967CD7"/>
    <w:rsid w:val="00986B7D"/>
    <w:rsid w:val="009E1700"/>
    <w:rsid w:val="00A41811"/>
    <w:rsid w:val="00A850C6"/>
    <w:rsid w:val="00AD7912"/>
    <w:rsid w:val="00AE0324"/>
    <w:rsid w:val="00AE1A32"/>
    <w:rsid w:val="00B62031"/>
    <w:rsid w:val="00B908BD"/>
    <w:rsid w:val="00B97374"/>
    <w:rsid w:val="00C9149F"/>
    <w:rsid w:val="00D16499"/>
    <w:rsid w:val="00D30DAA"/>
    <w:rsid w:val="00D364D7"/>
    <w:rsid w:val="00D46F6F"/>
    <w:rsid w:val="00DC0A2D"/>
    <w:rsid w:val="00DC623E"/>
    <w:rsid w:val="00DD3D6C"/>
    <w:rsid w:val="00E151E3"/>
    <w:rsid w:val="00E303A1"/>
    <w:rsid w:val="00E563D9"/>
    <w:rsid w:val="00E93A66"/>
    <w:rsid w:val="00EA0D55"/>
    <w:rsid w:val="00EE4E9C"/>
    <w:rsid w:val="00F27654"/>
    <w:rsid w:val="00F35653"/>
    <w:rsid w:val="00F92DD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F8C9CE8-460C-4654-AFE1-650E309D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45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2C97"/>
    <w:pPr>
      <w:ind w:leftChars="200" w:left="480"/>
    </w:pPr>
  </w:style>
  <w:style w:type="paragraph" w:styleId="a4">
    <w:name w:val="header"/>
    <w:basedOn w:val="a"/>
    <w:link w:val="a5"/>
    <w:uiPriority w:val="99"/>
    <w:unhideWhenUsed/>
    <w:rsid w:val="00AE1A32"/>
    <w:pPr>
      <w:tabs>
        <w:tab w:val="center" w:pos="4153"/>
        <w:tab w:val="right" w:pos="8306"/>
      </w:tabs>
      <w:snapToGrid w:val="0"/>
    </w:pPr>
    <w:rPr>
      <w:sz w:val="20"/>
    </w:rPr>
  </w:style>
  <w:style w:type="character" w:customStyle="1" w:styleId="a5">
    <w:name w:val="頁首 字元"/>
    <w:basedOn w:val="a0"/>
    <w:link w:val="a4"/>
    <w:uiPriority w:val="99"/>
    <w:rsid w:val="00AE1A32"/>
    <w:rPr>
      <w:rFonts w:ascii="Times New Roman" w:eastAsia="新細明體" w:hAnsi="Times New Roman" w:cs="Times New Roman"/>
      <w:sz w:val="20"/>
      <w:szCs w:val="20"/>
    </w:rPr>
  </w:style>
  <w:style w:type="paragraph" w:styleId="a6">
    <w:name w:val="footer"/>
    <w:basedOn w:val="a"/>
    <w:link w:val="a7"/>
    <w:uiPriority w:val="99"/>
    <w:unhideWhenUsed/>
    <w:rsid w:val="00AE1A32"/>
    <w:pPr>
      <w:tabs>
        <w:tab w:val="center" w:pos="4153"/>
        <w:tab w:val="right" w:pos="8306"/>
      </w:tabs>
      <w:snapToGrid w:val="0"/>
    </w:pPr>
    <w:rPr>
      <w:sz w:val="20"/>
    </w:rPr>
  </w:style>
  <w:style w:type="character" w:customStyle="1" w:styleId="a7">
    <w:name w:val="頁尾 字元"/>
    <w:basedOn w:val="a0"/>
    <w:link w:val="a6"/>
    <w:uiPriority w:val="99"/>
    <w:rsid w:val="00AE1A32"/>
    <w:rPr>
      <w:rFonts w:ascii="Times New Roman" w:eastAsia="新細明體" w:hAnsi="Times New Roman" w:cs="Times New Roman"/>
      <w:sz w:val="20"/>
      <w:szCs w:val="20"/>
    </w:rPr>
  </w:style>
  <w:style w:type="paragraph" w:styleId="a8">
    <w:name w:val="Balloon Text"/>
    <w:basedOn w:val="a"/>
    <w:link w:val="a9"/>
    <w:uiPriority w:val="99"/>
    <w:semiHidden/>
    <w:unhideWhenUsed/>
    <w:rsid w:val="0019257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92571"/>
    <w:rPr>
      <w:rFonts w:asciiTheme="majorHAnsi" w:eastAsiaTheme="majorEastAsia" w:hAnsiTheme="majorHAnsi" w:cstheme="majorBidi"/>
      <w:sz w:val="18"/>
      <w:szCs w:val="18"/>
    </w:rPr>
  </w:style>
  <w:style w:type="character" w:styleId="aa">
    <w:name w:val="Hyperlink"/>
    <w:basedOn w:val="a0"/>
    <w:uiPriority w:val="99"/>
    <w:semiHidden/>
    <w:unhideWhenUsed/>
    <w:rsid w:val="00B908BD"/>
    <w:rPr>
      <w:color w:val="0563C1" w:themeColor="hyperlink"/>
      <w:u w:val="single"/>
    </w:rPr>
  </w:style>
  <w:style w:type="paragraph" w:customStyle="1" w:styleId="p">
    <w:name w:val="p"/>
    <w:basedOn w:val="a"/>
    <w:rsid w:val="00B908BD"/>
    <w:pPr>
      <w:widowControl/>
      <w:spacing w:before="100" w:beforeAutospacing="1" w:after="100" w:afterAutospacing="1"/>
    </w:pPr>
    <w:rPr>
      <w:rFonts w:ascii="新細明體" w:hAnsi="新細明體" w:cs="新細明體"/>
      <w:kern w:val="0"/>
      <w:szCs w:val="24"/>
    </w:rPr>
  </w:style>
  <w:style w:type="character" w:styleId="ab">
    <w:name w:val="Emphasis"/>
    <w:basedOn w:val="a0"/>
    <w:uiPriority w:val="20"/>
    <w:qFormat/>
    <w:rsid w:val="00F276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661394">
      <w:bodyDiv w:val="1"/>
      <w:marLeft w:val="0"/>
      <w:marRight w:val="0"/>
      <w:marTop w:val="0"/>
      <w:marBottom w:val="0"/>
      <w:divBdr>
        <w:top w:val="none" w:sz="0" w:space="0" w:color="auto"/>
        <w:left w:val="none" w:sz="0" w:space="0" w:color="auto"/>
        <w:bottom w:val="none" w:sz="0" w:space="0" w:color="auto"/>
        <w:right w:val="none" w:sz="0" w:space="0" w:color="auto"/>
      </w:divBdr>
    </w:div>
    <w:div w:id="1170753385">
      <w:bodyDiv w:val="1"/>
      <w:marLeft w:val="0"/>
      <w:marRight w:val="0"/>
      <w:marTop w:val="0"/>
      <w:marBottom w:val="0"/>
      <w:divBdr>
        <w:top w:val="none" w:sz="0" w:space="0" w:color="auto"/>
        <w:left w:val="none" w:sz="0" w:space="0" w:color="auto"/>
        <w:bottom w:val="none" w:sz="0" w:space="0" w:color="auto"/>
        <w:right w:val="none" w:sz="0" w:space="0" w:color="auto"/>
      </w:divBdr>
    </w:div>
    <w:div w:id="1365982338">
      <w:bodyDiv w:val="1"/>
      <w:marLeft w:val="0"/>
      <w:marRight w:val="0"/>
      <w:marTop w:val="0"/>
      <w:marBottom w:val="0"/>
      <w:divBdr>
        <w:top w:val="none" w:sz="0" w:space="0" w:color="auto"/>
        <w:left w:val="none" w:sz="0" w:space="0" w:color="auto"/>
        <w:bottom w:val="none" w:sz="0" w:space="0" w:color="auto"/>
        <w:right w:val="none" w:sz="0" w:space="0" w:color="auto"/>
      </w:divBdr>
    </w:div>
    <w:div w:id="1427847764">
      <w:bodyDiv w:val="1"/>
      <w:marLeft w:val="0"/>
      <w:marRight w:val="0"/>
      <w:marTop w:val="0"/>
      <w:marBottom w:val="0"/>
      <w:divBdr>
        <w:top w:val="none" w:sz="0" w:space="0" w:color="auto"/>
        <w:left w:val="none" w:sz="0" w:space="0" w:color="auto"/>
        <w:bottom w:val="none" w:sz="0" w:space="0" w:color="auto"/>
        <w:right w:val="none" w:sz="0" w:space="0" w:color="auto"/>
      </w:divBdr>
    </w:div>
    <w:div w:id="1835144500">
      <w:bodyDiv w:val="1"/>
      <w:marLeft w:val="0"/>
      <w:marRight w:val="0"/>
      <w:marTop w:val="0"/>
      <w:marBottom w:val="0"/>
      <w:divBdr>
        <w:top w:val="none" w:sz="0" w:space="0" w:color="auto"/>
        <w:left w:val="none" w:sz="0" w:space="0" w:color="auto"/>
        <w:bottom w:val="none" w:sz="0" w:space="0" w:color="auto"/>
        <w:right w:val="none" w:sz="0" w:space="0" w:color="auto"/>
      </w:divBdr>
    </w:div>
    <w:div w:id="1870099309">
      <w:bodyDiv w:val="1"/>
      <w:marLeft w:val="0"/>
      <w:marRight w:val="0"/>
      <w:marTop w:val="0"/>
      <w:marBottom w:val="0"/>
      <w:divBdr>
        <w:top w:val="none" w:sz="0" w:space="0" w:color="auto"/>
        <w:left w:val="none" w:sz="0" w:space="0" w:color="auto"/>
        <w:bottom w:val="none" w:sz="0" w:space="0" w:color="auto"/>
        <w:right w:val="none" w:sz="0" w:space="0" w:color="auto"/>
      </w:divBdr>
    </w:div>
    <w:div w:id="1902670578">
      <w:bodyDiv w:val="1"/>
      <w:marLeft w:val="0"/>
      <w:marRight w:val="0"/>
      <w:marTop w:val="0"/>
      <w:marBottom w:val="0"/>
      <w:divBdr>
        <w:top w:val="none" w:sz="0" w:space="0" w:color="auto"/>
        <w:left w:val="none" w:sz="0" w:space="0" w:color="auto"/>
        <w:bottom w:val="none" w:sz="0" w:space="0" w:color="auto"/>
        <w:right w:val="none" w:sz="0" w:space="0" w:color="auto"/>
      </w:divBdr>
    </w:div>
    <w:div w:id="199787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Sandral</dc:creator>
  <cp:keywords/>
  <dc:description/>
  <cp:lastModifiedBy>ASUS</cp:lastModifiedBy>
  <cp:revision>3</cp:revision>
  <cp:lastPrinted>2021-11-11T07:12:00Z</cp:lastPrinted>
  <dcterms:created xsi:type="dcterms:W3CDTF">2021-11-11T23:52:00Z</dcterms:created>
  <dcterms:modified xsi:type="dcterms:W3CDTF">2021-11-12T05:46:00Z</dcterms:modified>
</cp:coreProperties>
</file>